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BF7" w:rsidRDefault="00C821C0">
      <w:pPr>
        <w:pStyle w:val="Header"/>
        <w:tabs>
          <w:tab w:val="clear" w:pos="9072"/>
          <w:tab w:val="right" w:pos="9000"/>
        </w:tabs>
        <w:spacing w:line="264" w:lineRule="auto"/>
        <w:jc w:val="both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#114</w:t>
      </w:r>
      <w:r>
        <w:rPr>
          <w:rFonts w:ascii="Times New Roman" w:eastAsia="SimSun" w:hAnsi="Times New Roman"/>
          <w:sz w:val="24"/>
          <w:lang w:eastAsia="zh-CN"/>
        </w:rPr>
        <w:t>bis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 xml:space="preserve">  </w:t>
      </w:r>
      <w:r>
        <w:rPr>
          <w:rFonts w:ascii="Times New Roman" w:eastAsia="SimSun" w:hAnsi="Times New Roman"/>
          <w:sz w:val="24"/>
          <w:lang w:eastAsia="zh-CN"/>
        </w:rPr>
        <w:t>R1-2309627</w:t>
      </w:r>
      <w:bookmarkStart w:id="0" w:name="_GoBack"/>
      <w:bookmarkEnd w:id="0"/>
    </w:p>
    <w:p w:rsidR="00BC0BF7" w:rsidRDefault="00C821C0">
      <w:pPr>
        <w:rPr>
          <w:rFonts w:eastAsia="Batang"/>
          <w:sz w:val="24"/>
          <w:szCs w:val="22"/>
        </w:rPr>
      </w:pPr>
      <w:r>
        <w:rPr>
          <w:rFonts w:eastAsia="MS Mincho"/>
          <w:b/>
          <w:bCs/>
          <w:sz w:val="24"/>
          <w:szCs w:val="22"/>
        </w:rPr>
        <w:t xml:space="preserve">Xiamen, China, </w:t>
      </w:r>
      <w:r>
        <w:rPr>
          <w:rFonts w:eastAsiaTheme="minorEastAsia"/>
          <w:b/>
          <w:bCs/>
          <w:sz w:val="24"/>
          <w:szCs w:val="22"/>
          <w:lang w:eastAsia="zh-CN"/>
        </w:rPr>
        <w:t>October</w:t>
      </w:r>
      <w:r>
        <w:rPr>
          <w:rFonts w:eastAsia="MS Mincho"/>
          <w:b/>
          <w:bCs/>
          <w:sz w:val="24"/>
          <w:szCs w:val="22"/>
        </w:rPr>
        <w:t xml:space="preserve"> 9</w:t>
      </w:r>
      <w:r>
        <w:rPr>
          <w:rFonts w:eastAsia="MS Mincho"/>
          <w:b/>
          <w:bCs/>
          <w:sz w:val="24"/>
          <w:szCs w:val="22"/>
          <w:vertAlign w:val="superscript"/>
        </w:rPr>
        <w:t>st</w:t>
      </w:r>
      <w:r>
        <w:rPr>
          <w:rFonts w:eastAsia="MS Mincho"/>
          <w:b/>
          <w:bCs/>
          <w:sz w:val="24"/>
          <w:szCs w:val="22"/>
        </w:rPr>
        <w:t xml:space="preserve"> – </w:t>
      </w:r>
      <w:r>
        <w:rPr>
          <w:rFonts w:eastAsiaTheme="minorEastAsia"/>
          <w:b/>
          <w:bCs/>
          <w:sz w:val="24"/>
          <w:szCs w:val="22"/>
          <w:lang w:eastAsia="zh-CN"/>
        </w:rPr>
        <w:t>October</w:t>
      </w:r>
      <w:r>
        <w:rPr>
          <w:rFonts w:eastAsia="MS Mincho"/>
          <w:b/>
          <w:bCs/>
          <w:sz w:val="24"/>
          <w:szCs w:val="22"/>
        </w:rPr>
        <w:t xml:space="preserve"> 13</w:t>
      </w:r>
      <w:r>
        <w:rPr>
          <w:rFonts w:eastAsia="MS Mincho"/>
          <w:b/>
          <w:bCs/>
          <w:sz w:val="24"/>
          <w:szCs w:val="22"/>
          <w:vertAlign w:val="superscript"/>
        </w:rPr>
        <w:t>th</w:t>
      </w:r>
      <w:r>
        <w:rPr>
          <w:rFonts w:eastAsia="MS Mincho"/>
          <w:b/>
          <w:bCs/>
          <w:sz w:val="24"/>
          <w:szCs w:val="22"/>
        </w:rPr>
        <w:t>, 2023</w:t>
      </w:r>
    </w:p>
    <w:p w:rsidR="00BC0BF7" w:rsidRDefault="00BC0BF7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BC0BF7" w:rsidRDefault="00C821C0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BC0BF7" w:rsidRDefault="00C821C0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multi-carrier enhancement</w:t>
      </w:r>
    </w:p>
    <w:p w:rsidR="00BC0BF7" w:rsidRDefault="00C821C0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8</w:t>
      </w:r>
      <w:r>
        <w:rPr>
          <w:rFonts w:ascii="Times New Roman" w:eastAsia="SimSun" w:hAnsi="Times New Roman"/>
          <w:szCs w:val="20"/>
          <w:lang w:eastAsia="zh-CN"/>
        </w:rPr>
        <w:t>.16.</w:t>
      </w:r>
      <w:r>
        <w:rPr>
          <w:rFonts w:ascii="Times New Roman" w:eastAsia="SimSun" w:hAnsi="Times New Roman"/>
          <w:szCs w:val="20"/>
          <w:lang w:eastAsia="zh-CN"/>
        </w:rPr>
        <w:t>12</w:t>
      </w:r>
    </w:p>
    <w:p w:rsidR="00BC0BF7" w:rsidRDefault="00C821C0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BC0BF7" w:rsidRDefault="00BC0BF7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DocumentFor"/>
      <w:bookmarkStart w:id="2" w:name="Source"/>
      <w:bookmarkEnd w:id="1"/>
      <w:bookmarkEnd w:id="2"/>
    </w:p>
    <w:p w:rsidR="00BC0BF7" w:rsidRDefault="00C821C0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BC0BF7" w:rsidRDefault="00C821C0" w:rsidP="00C821C0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</w:t>
      </w:r>
      <w:r>
        <w:rPr>
          <w:rStyle w:val="apple-converted-space"/>
          <w:rFonts w:eastAsiaTheme="minorEastAsia"/>
          <w:lang w:eastAsia="zh-CN"/>
        </w:rPr>
        <w:t>contribution elaborates our views on UE features for Rel-18 multi-carrier enhancement, focusing on multi-cell scheduling with single DCI.</w:t>
      </w:r>
    </w:p>
    <w:p w:rsidR="00BC0BF7" w:rsidRDefault="00C821C0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BC0BF7" w:rsidRDefault="00C821C0">
      <w:pPr>
        <w:spacing w:after="120"/>
        <w:rPr>
          <w:rStyle w:val="apple-converted-space"/>
          <w:b/>
          <w:i/>
          <w:szCs w:val="20"/>
          <w:u w:val="single"/>
        </w:rPr>
      </w:pPr>
      <w:r>
        <w:rPr>
          <w:rStyle w:val="apple-converted-space"/>
          <w:b/>
          <w:i/>
          <w:szCs w:val="20"/>
          <w:u w:val="single"/>
        </w:rPr>
        <w:t>Updates of feature types in previous agreements in accordance to RAN2 guidance</w:t>
      </w:r>
    </w:p>
    <w:p w:rsidR="00BC0BF7" w:rsidRDefault="00C821C0">
      <w:pPr>
        <w:tabs>
          <w:tab w:val="left" w:pos="800"/>
        </w:tabs>
        <w:spacing w:before="120" w:after="12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RAN2 sends some guidance to </w:t>
      </w:r>
      <w:r>
        <w:rPr>
          <w:rFonts w:eastAsia="MS Gothic"/>
          <w:bCs/>
          <w:iCs/>
          <w:szCs w:val="20"/>
          <w:lang w:eastAsia="ja-JP"/>
        </w:rPr>
        <w:t xml:space="preserve">RAN1 in </w:t>
      </w:r>
      <w:r w:rsidR="00BC0BF7">
        <w:rPr>
          <w:rFonts w:eastAsia="MS Gothic"/>
          <w:bCs/>
          <w:iCs/>
          <w:szCs w:val="20"/>
          <w:lang w:eastAsia="ja-JP"/>
        </w:rPr>
        <w:fldChar w:fldCharType="begin"/>
      </w:r>
      <w:r>
        <w:rPr>
          <w:rFonts w:eastAsia="MS Gothic"/>
          <w:bCs/>
          <w:iCs/>
          <w:szCs w:val="20"/>
          <w:lang w:eastAsia="ja-JP"/>
        </w:rPr>
        <w:instrText xml:space="preserve"> REF _Ref2019110949 \r \h </w:instrText>
      </w:r>
      <w:r w:rsidR="00BC0BF7">
        <w:rPr>
          <w:rFonts w:eastAsia="MS Gothic"/>
          <w:bCs/>
          <w:iCs/>
          <w:szCs w:val="20"/>
          <w:lang w:eastAsia="ja-JP"/>
        </w:rPr>
      </w:r>
      <w:r w:rsidR="00BC0BF7">
        <w:rPr>
          <w:rFonts w:eastAsia="MS Gothic"/>
          <w:bCs/>
          <w:iCs/>
          <w:szCs w:val="20"/>
          <w:lang w:eastAsia="ja-JP"/>
        </w:rPr>
        <w:fldChar w:fldCharType="separate"/>
      </w:r>
      <w:r>
        <w:rPr>
          <w:rFonts w:eastAsia="MS Gothic"/>
          <w:bCs/>
          <w:iCs/>
          <w:szCs w:val="20"/>
          <w:lang w:eastAsia="ja-JP"/>
        </w:rPr>
        <w:t>[2]</w:t>
      </w:r>
      <w:r w:rsidR="00BC0BF7">
        <w:rPr>
          <w:rFonts w:eastAsia="MS Gothic"/>
          <w:bCs/>
          <w:iCs/>
          <w:szCs w:val="20"/>
          <w:lang w:eastAsia="ja-JP"/>
        </w:rPr>
        <w:fldChar w:fldCharType="end"/>
      </w:r>
      <w:r>
        <w:rPr>
          <w:rFonts w:eastAsia="MS Gothic"/>
          <w:bCs/>
          <w:iCs/>
          <w:szCs w:val="20"/>
          <w:lang w:eastAsia="ja-JP"/>
        </w:rPr>
        <w:t xml:space="preserve"> for UE feature/capability definitions. One of the guidance rules is to “</w:t>
      </w:r>
      <w:r>
        <w:rPr>
          <w:b/>
          <w:bCs/>
          <w:color w:val="000000"/>
        </w:rPr>
        <w:t>Avoid defining capabilities with pre-requisite on a finer granularity</w:t>
      </w:r>
      <w:r>
        <w:rPr>
          <w:rFonts w:eastAsia="MS Gothic"/>
          <w:bCs/>
          <w:iCs/>
          <w:szCs w:val="20"/>
          <w:lang w:eastAsia="ja-JP"/>
        </w:rPr>
        <w:t>”. Unfort</w:t>
      </w:r>
      <w:r>
        <w:rPr>
          <w:rFonts w:eastAsia="MS Gothic"/>
          <w:bCs/>
          <w:iCs/>
          <w:szCs w:val="20"/>
          <w:lang w:eastAsia="ja-JP"/>
        </w:rPr>
        <w:t xml:space="preserve">unately the current MCE UE feature structure agreed in the past two RAN1 meetings violates this rule in that: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FG49-1 can be the prerequisite of FG 49-4a, where the granularity of FG49-1 (per BC) is finer than that of FG49-4a (per UE)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FG49-2 can be the prerequisite of FG 49-4b, where the granularity of FG49-2 (per BC) is finer than that of FG49-4b (per UE) 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One of {FG49-1, FG49-2} can be prerequisite of FG49-4c and FG49-4d, where the granularity of FG49-1/FG49-2 (per BC) is finer than </w:t>
      </w:r>
      <w:r>
        <w:rPr>
          <w:rFonts w:eastAsia="MS Gothic"/>
          <w:bCs/>
          <w:iCs/>
          <w:szCs w:val="20"/>
          <w:lang w:eastAsia="ja-JP"/>
        </w:rPr>
        <w:t xml:space="preserve">that of FG49-4c/FG49-4d (per UE).  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Change the type granularity from “per UE” to “per BC” for FG49-4a/4b/4c/4d. </w:t>
      </w:r>
    </w:p>
    <w:p w:rsidR="00BC0BF7" w:rsidRDefault="00C821C0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u w:val="single"/>
        </w:rPr>
      </w:pPr>
      <w:r>
        <w:rPr>
          <w:rStyle w:val="apple-converted-space"/>
          <w:b/>
          <w:bCs/>
          <w:i/>
          <w:iCs/>
          <w:szCs w:val="20"/>
          <w:u w:val="single"/>
        </w:rPr>
        <w:t>Maximum number of cell sets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</w:rPr>
        <w:t>I</w:t>
      </w:r>
      <w:r>
        <w:rPr>
          <w:rStyle w:val="apple-converted-space"/>
          <w:szCs w:val="20"/>
        </w:rPr>
        <w:t>t was agreed in RAN1 #112 that “</w:t>
      </w:r>
      <w:r>
        <w:rPr>
          <w:rFonts w:eastAsia="Malgun Gothic"/>
          <w:bCs/>
          <w:szCs w:val="20"/>
          <w:lang w:eastAsia="zh-CN"/>
        </w:rPr>
        <w:t>Up to 4 sets of cells can be configured per PUCCH group</w:t>
      </w:r>
      <w:r>
        <w:rPr>
          <w:rStyle w:val="apple-converted-space"/>
          <w:szCs w:val="20"/>
        </w:rPr>
        <w:t xml:space="preserve">”. </w:t>
      </w:r>
      <w:r>
        <w:rPr>
          <w:rStyle w:val="apple-converted-space"/>
          <w:szCs w:val="20"/>
        </w:rPr>
        <w:t>Accordingly,</w:t>
      </w:r>
      <w:r>
        <w:rPr>
          <w:rStyle w:val="apple-converted-space"/>
          <w:szCs w:val="20"/>
          <w:lang w:eastAsia="ja-JP"/>
        </w:rPr>
        <w:t xml:space="preserve"> </w:t>
      </w:r>
      <w:r>
        <w:rPr>
          <w:rStyle w:val="apple-converted-space"/>
          <w:szCs w:val="20"/>
          <w:lang w:eastAsia="ja-JP"/>
        </w:rPr>
        <w:t xml:space="preserve">we </w:t>
      </w:r>
      <w:r>
        <w:rPr>
          <w:rStyle w:val="apple-converted-space"/>
          <w:szCs w:val="20"/>
          <w:lang w:eastAsia="ja-JP"/>
        </w:rPr>
        <w:t xml:space="preserve">prefer to have up to 4 set of cells per same scheduling cell. 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2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: The candidate value sets in component 6 of FG49-1/1b and component 6 of FG49-2/2b are {1,2,3,4}. </w:t>
      </w:r>
    </w:p>
    <w:p w:rsidR="00BC0BF7" w:rsidRDefault="00C821C0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Scheduling cell not scheduled by different cell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Both of the following cross-car</w:t>
      </w:r>
      <w:r>
        <w:rPr>
          <w:rStyle w:val="apple-converted-space"/>
          <w:szCs w:val="20"/>
          <w:lang w:eastAsia="ja-JP"/>
        </w:rPr>
        <w:t xml:space="preserve">rier scheduling cases were not discussed in Rel-18 WI phase, and therefore should be reflected in UE feature as not supported: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Case-1: The scheduling cell not in any of its scheduled cell set is scheduled by another cell.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Case-2: The scheduling cell that</w:t>
      </w:r>
      <w:r>
        <w:rPr>
          <w:rStyle w:val="apple-converted-space"/>
          <w:szCs w:val="20"/>
          <w:lang w:eastAsia="ja-JP"/>
        </w:rPr>
        <w:t xml:space="preserve"> also appears in one of its scheduled cell set is scheduled by another cell. 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First of all, this scheduling cell cannot be a SCell, because a SCell can never be the scheduling cell and scheduled cell (by another cell) at the same time. Further, because the</w:t>
      </w:r>
      <w:r>
        <w:rPr>
          <w:rStyle w:val="apple-converted-space"/>
          <w:szCs w:val="20"/>
          <w:lang w:eastAsia="ja-JP"/>
        </w:rPr>
        <w:t xml:space="preserve"> size of scheduled cell set is no smaller than 2, both Case-1 and Case-2 go beyond Rel-17 DSS where PSCell (when scheduled by another SCell) can only schedule itself (instead of at least two scheduled cells). So, neither of Case-1 and Case-2 can be conside</w:t>
      </w:r>
      <w:r>
        <w:rPr>
          <w:rStyle w:val="apple-converted-space"/>
          <w:szCs w:val="20"/>
          <w:lang w:eastAsia="ja-JP"/>
        </w:rPr>
        <w:t xml:space="preserve">red as an extension of Rel-17 DSS to multi-cell scheduling via single DCI.     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3</w:t>
      </w:r>
      <w:r>
        <w:rPr>
          <w:rStyle w:val="apple-converted-space"/>
          <w:b/>
          <w:bCs/>
          <w:i/>
          <w:iCs/>
          <w:szCs w:val="20"/>
          <w:lang w:eastAsia="ja-JP"/>
        </w:rPr>
        <w:t>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>UE is not expected to be configured with another cell to monitor PD</w:t>
      </w:r>
      <w:r>
        <w:rPr>
          <w:rStyle w:val="apple-converted-space"/>
          <w:b/>
          <w:bCs/>
          <w:i/>
          <w:iCs/>
          <w:szCs w:val="20"/>
          <w:lang w:eastAsia="ja-JP"/>
        </w:rPr>
        <w:t>CCH candidates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same note is added to FG49-1b and FG49-2b. </w:t>
      </w:r>
    </w:p>
    <w:p w:rsidR="00BC0BF7" w:rsidRDefault="00BC0BF7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FG49-3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The monitoring of both legacy DCI and DCI 0_3/1_3 on the same scheduling cell is not a necessary function that multi-cell scheduling by single DCI requires. </w:t>
      </w:r>
      <w:r>
        <w:rPr>
          <w:rStyle w:val="apple-converted-space"/>
          <w:szCs w:val="20"/>
          <w:lang w:eastAsia="ja-JP"/>
        </w:rPr>
        <w:t xml:space="preserve">So it should be a separate optional feature. The current FG49-3 </w:t>
      </w:r>
      <w:r>
        <w:rPr>
          <w:rStyle w:val="apple-converted-space"/>
          <w:szCs w:val="20"/>
          <w:lang w:eastAsia="ja-JP"/>
        </w:rPr>
        <w:lastRenderedPageBreak/>
        <w:t>proposal left from RAN1 #113</w:t>
      </w:r>
      <w:r>
        <w:rPr>
          <w:rStyle w:val="apple-converted-space"/>
          <w:szCs w:val="20"/>
          <w:lang w:eastAsia="ja-JP"/>
        </w:rPr>
        <w:t>/#114</w:t>
      </w:r>
      <w:r>
        <w:rPr>
          <w:rStyle w:val="apple-converted-space"/>
          <w:szCs w:val="20"/>
          <w:lang w:eastAsia="ja-JP"/>
        </w:rPr>
        <w:t xml:space="preserve"> may need some editorial improvement in order to build clear correspondence between the prerequisite and feature components: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The prerequisite of FG49-3 is “At</w:t>
      </w:r>
      <w:r>
        <w:rPr>
          <w:rStyle w:val="apple-converted-space"/>
          <w:szCs w:val="20"/>
          <w:lang w:eastAsia="ja-JP"/>
        </w:rPr>
        <w:t xml:space="preserve"> least one of {49-1, [49-1a,] 49-1b} or at least one of {49-2, [49-2a,] 49-2b}”; and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The feature component is described as “Monitoring both legacy DCI format(s) (0_0/1_0, 0_1/1_1 and/or 0_2/1_2) and DCI format 1_3, or both legacy DCI format(s) (0_0/1_0, 0</w:t>
      </w:r>
      <w:r>
        <w:rPr>
          <w:rStyle w:val="apple-converted-space"/>
          <w:szCs w:val="20"/>
          <w:lang w:eastAsia="ja-JP"/>
        </w:rPr>
        <w:t>_1/1_1 and/or 0_2/1_2) and DCI format 0_3, on the same scheduling cell”.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4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: </w:t>
      </w:r>
      <w:r>
        <w:rPr>
          <w:rStyle w:val="apple-converted-space"/>
          <w:b/>
          <w:bCs/>
          <w:i/>
          <w:iCs/>
          <w:szCs w:val="20"/>
          <w:lang w:eastAsia="ja-JP"/>
        </w:rPr>
        <w:t>Adopt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FG49-3 for monitoring both legacy DCI and DCI 0_3/1_3 on the same scheduling cell.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prerequisite of FG49-3 is “At least one of {49-1, [49-1a,] 49-1b} or at least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one of {49-2, [49-2a,] 49-2b}”; and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feature component is described as “Monitoring both legacy DCI format(s) (0_0/1_0, 0_1/1_1 and/or 0_2/1_2) and DCI format 1_3, or both legacy DCI format(s) (0_0/1_0, 0_1/1_1 and/or 0_2/1_2) and DCI format 0_3, on th</w:t>
      </w:r>
      <w:r>
        <w:rPr>
          <w:rStyle w:val="apple-converted-space"/>
          <w:b/>
          <w:bCs/>
          <w:i/>
          <w:iCs/>
          <w:szCs w:val="20"/>
          <w:lang w:eastAsia="ja-JP"/>
        </w:rPr>
        <w:t>e same scheduling cell”.</w:t>
      </w:r>
    </w:p>
    <w:p w:rsidR="00BC0BF7" w:rsidRDefault="00BC0BF7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BC0BF7" w:rsidRDefault="00BC0BF7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BC0BF7" w:rsidRDefault="00C821C0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BC0BF7" w:rsidRDefault="00C821C0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Change the type granularity from “per UE” to “per BC” for FG49-4a/4b/4c/4d. 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2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: The candidate value sets in component 6 of FG49-1/1b and component 6 of FG49-2/2b are {1,2,3,4}. 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3</w:t>
      </w:r>
      <w:r>
        <w:rPr>
          <w:rStyle w:val="apple-converted-space"/>
          <w:b/>
          <w:bCs/>
          <w:i/>
          <w:iCs/>
          <w:szCs w:val="20"/>
          <w:lang w:eastAsia="ja-JP"/>
        </w:rPr>
        <w:t>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>UE is not expected to be configured with anothe</w:t>
      </w:r>
      <w:r>
        <w:rPr>
          <w:rStyle w:val="apple-converted-space"/>
          <w:b/>
          <w:bCs/>
          <w:i/>
          <w:iCs/>
          <w:szCs w:val="20"/>
          <w:lang w:eastAsia="ja-JP"/>
        </w:rPr>
        <w:t>r cell to monitor PDCCH candidates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same note is added to FG49-1b and FG49-2b. </w:t>
      </w:r>
    </w:p>
    <w:p w:rsidR="00BC0BF7" w:rsidRDefault="00C821C0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</w:t>
      </w:r>
      <w:r>
        <w:rPr>
          <w:rStyle w:val="apple-converted-space"/>
          <w:b/>
          <w:bCs/>
          <w:i/>
          <w:iCs/>
          <w:szCs w:val="20"/>
          <w:lang w:eastAsia="ja-JP"/>
        </w:rPr>
        <w:t>4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: </w:t>
      </w:r>
      <w:r>
        <w:rPr>
          <w:rStyle w:val="apple-converted-space"/>
          <w:b/>
          <w:bCs/>
          <w:i/>
          <w:iCs/>
          <w:szCs w:val="20"/>
          <w:lang w:eastAsia="ja-JP"/>
        </w:rPr>
        <w:t>Adopt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FG49-3 for monitoring both legacy DCI and DCI 0_3/1_3 on the same scheduling cell.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prerequisite of FG49-3 is “At least one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of {49-1, [49-1a,] 49-1b} or at least one of {49-2, [49-2a,] 49-2b}”; and </w:t>
      </w:r>
    </w:p>
    <w:p w:rsidR="00BC0BF7" w:rsidRDefault="00C821C0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feature component is described as “Monitoring both legacy DCI format(s) (0_0/1_0, 0_1/1_1 and/or 0_2/1_2) and DCI format 1_3, or both legacy DCI format(s) (0_0/1_0, 0_1/1_1 and</w:t>
      </w:r>
      <w:r>
        <w:rPr>
          <w:rStyle w:val="apple-converted-space"/>
          <w:b/>
          <w:bCs/>
          <w:i/>
          <w:iCs/>
          <w:szCs w:val="20"/>
          <w:lang w:eastAsia="ja-JP"/>
        </w:rPr>
        <w:t>/or 0_2/1_2) and DCI format 0_3, on the same scheduling cell”.</w:t>
      </w:r>
    </w:p>
    <w:p w:rsidR="00BC0BF7" w:rsidRDefault="00BC0BF7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</w:p>
    <w:p w:rsidR="00BC0BF7" w:rsidRDefault="00C821C0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BC0BF7" w:rsidRDefault="00C821C0">
      <w:pPr>
        <w:numPr>
          <w:ilvl w:val="0"/>
          <w:numId w:val="12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v17.0.0,  NR User Equipment (UE) feature list (Release 17)</w:t>
      </w:r>
    </w:p>
    <w:p w:rsidR="00BC0BF7" w:rsidRDefault="00C821C0">
      <w:pPr>
        <w:numPr>
          <w:ilvl w:val="0"/>
          <w:numId w:val="12"/>
        </w:numPr>
        <w:spacing w:after="40"/>
        <w:ind w:hangingChars="210"/>
        <w:rPr>
          <w:sz w:val="22"/>
          <w:szCs w:val="22"/>
        </w:rPr>
      </w:pPr>
      <w:bookmarkStart w:id="3" w:name="_Ref2019110949"/>
      <w:r>
        <w:rPr>
          <w:rFonts w:eastAsia="SimSun"/>
          <w:color w:val="000000"/>
          <w:lang w:eastAsia="zh-CN"/>
        </w:rPr>
        <w:t>R1-2306381(R2-2306810), Further Guidelines on UE capability definitions, RAN2</w:t>
      </w:r>
      <w:bookmarkStart w:id="4" w:name="_Ref475805663"/>
      <w:bookmarkEnd w:id="3"/>
    </w:p>
    <w:p w:rsidR="00BC0BF7" w:rsidRDefault="00BC0BF7">
      <w:pPr>
        <w:numPr>
          <w:ilvl w:val="0"/>
          <w:numId w:val="12"/>
        </w:numPr>
        <w:spacing w:after="40"/>
        <w:ind w:hangingChars="210"/>
        <w:rPr>
          <w:szCs w:val="20"/>
        </w:rPr>
      </w:pPr>
      <w:hyperlink r:id="rId7" w:history="1">
        <w:r w:rsidR="00C821C0">
          <w:rPr>
            <w:rStyle w:val="Hyperlink"/>
            <w:rFonts w:ascii="Times New Roman" w:hAnsi="Times New Roman" w:cs="Times New Roman"/>
            <w:color w:val="auto"/>
            <w:szCs w:val="20"/>
            <w:u w:val="none"/>
          </w:rPr>
          <w:t>R1-2308521</w:t>
        </w:r>
      </w:hyperlink>
      <w:r w:rsidR="00C821C0">
        <w:rPr>
          <w:szCs w:val="20"/>
        </w:rPr>
        <w:t xml:space="preserve">, </w:t>
      </w:r>
      <w:r w:rsidR="00C821C0">
        <w:rPr>
          <w:szCs w:val="20"/>
        </w:rPr>
        <w:t>Updated RAN1 UE features list for Rel-18 NR after RAN1#114, Moderators (AT&amp;T, NTT DOCOMO, INC.)</w:t>
      </w:r>
      <w:bookmarkEnd w:id="4"/>
    </w:p>
    <w:p w:rsidR="00BC0BF7" w:rsidRDefault="00BC0BF7">
      <w:pPr>
        <w:spacing w:after="40"/>
        <w:rPr>
          <w:rFonts w:eastAsia="SimSun"/>
          <w:color w:val="000000"/>
          <w:lang w:eastAsia="zh-CN"/>
        </w:rPr>
      </w:pPr>
    </w:p>
    <w:p w:rsidR="00BC0BF7" w:rsidRDefault="00BC0BF7">
      <w:pPr>
        <w:rPr>
          <w:rFonts w:eastAsia="SimSun"/>
          <w:color w:val="000000"/>
          <w:lang w:eastAsia="zh-CN"/>
        </w:rPr>
      </w:pPr>
    </w:p>
    <w:p w:rsidR="00BC0BF7" w:rsidRDefault="00BC0BF7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</w:pPr>
    </w:p>
    <w:sectPr w:rsidR="00BC0BF7" w:rsidSect="00BC0BF7">
      <w:headerReference w:type="default" r:id="rId8"/>
      <w:footerReference w:type="even" r:id="rId9"/>
      <w:footerReference w:type="default" r:id="rId10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BF7" w:rsidRDefault="00BC0BF7" w:rsidP="00BC0BF7">
      <w:r>
        <w:separator/>
      </w:r>
    </w:p>
  </w:endnote>
  <w:endnote w:type="continuationSeparator" w:id="0">
    <w:p w:rsidR="00BC0BF7" w:rsidRDefault="00BC0BF7" w:rsidP="00BC0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BF7" w:rsidRDefault="00BC0B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21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0BF7" w:rsidRDefault="00BC0B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5860"/>
    </w:sdtPr>
    <w:sdtContent>
      <w:p w:rsidR="00BC0BF7" w:rsidRDefault="00BC0BF7">
        <w:pPr>
          <w:pStyle w:val="Footer"/>
          <w:jc w:val="center"/>
        </w:pPr>
        <w:r>
          <w:fldChar w:fldCharType="begin"/>
        </w:r>
        <w:r w:rsidR="00C821C0">
          <w:instrText xml:space="preserve"> PAGE   \* MERGEFORMAT </w:instrText>
        </w:r>
        <w:r>
          <w:fldChar w:fldCharType="separate"/>
        </w:r>
        <w:r w:rsidR="00C821C0">
          <w:rPr>
            <w:noProof/>
          </w:rPr>
          <w:t>1</w:t>
        </w:r>
        <w:r>
          <w:fldChar w:fldCharType="end"/>
        </w:r>
      </w:p>
    </w:sdtContent>
  </w:sdt>
  <w:p w:rsidR="00BC0BF7" w:rsidRDefault="00BC0B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BF7" w:rsidRDefault="00BC0BF7" w:rsidP="00BC0BF7">
      <w:r>
        <w:separator/>
      </w:r>
    </w:p>
  </w:footnote>
  <w:footnote w:type="continuationSeparator" w:id="0">
    <w:p w:rsidR="00BC0BF7" w:rsidRDefault="00BC0BF7" w:rsidP="00BC0B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BF7" w:rsidRDefault="00BC0BF7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937B7A8"/>
    <w:multiLevelType w:val="singleLevel"/>
    <w:tmpl w:val="3937B7A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8FE6ABCD"/>
    <w:rsid w:val="B2B384D5"/>
    <w:rsid w:val="B7EFA944"/>
    <w:rsid w:val="BB7E8854"/>
    <w:rsid w:val="BEE5A6FA"/>
    <w:rsid w:val="BEFB80C5"/>
    <w:rsid w:val="D9BFBADC"/>
    <w:rsid w:val="DD76A23B"/>
    <w:rsid w:val="DEFF66CE"/>
    <w:rsid w:val="FAF71006"/>
    <w:rsid w:val="FBCB4228"/>
    <w:rsid w:val="FE578F67"/>
    <w:rsid w:val="FEFF0658"/>
    <w:rsid w:val="FFAF0D7A"/>
    <w:rsid w:val="FFB5B7DE"/>
    <w:rsid w:val="FFDF0FD1"/>
    <w:rsid w:val="FFF79117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88F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71F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04B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18C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9F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19E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BF7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1C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1A3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58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6FFDECD"/>
    <w:rsid w:val="39FE3DF7"/>
    <w:rsid w:val="4FFDEB9A"/>
    <w:rsid w:val="57796434"/>
    <w:rsid w:val="5FBFAEB5"/>
    <w:rsid w:val="5FFF843D"/>
    <w:rsid w:val="6DDF9A58"/>
    <w:rsid w:val="6EEE9743"/>
    <w:rsid w:val="775D5CDF"/>
    <w:rsid w:val="776DFDF9"/>
    <w:rsid w:val="77FDA5A9"/>
    <w:rsid w:val="7ABFD46D"/>
    <w:rsid w:val="7BDBC597"/>
    <w:rsid w:val="7CF438D7"/>
    <w:rsid w:val="7FFF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BF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BC0BF7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BC0BF7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BC0BF7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C0BF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C0BF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C0BF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BC0BF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BC0BF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BC0BF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C0BF7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BC0BF7"/>
    <w:rPr>
      <w:sz w:val="18"/>
      <w:szCs w:val="18"/>
    </w:rPr>
  </w:style>
  <w:style w:type="paragraph" w:styleId="BodyText2">
    <w:name w:val="Body Text 2"/>
    <w:basedOn w:val="Normal"/>
    <w:qFormat/>
    <w:rsid w:val="00BC0BF7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BC0BF7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BC0BF7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BC0BF7"/>
  </w:style>
  <w:style w:type="paragraph" w:styleId="CommentSubject">
    <w:name w:val="annotation subject"/>
    <w:basedOn w:val="CommentText"/>
    <w:next w:val="CommentText"/>
    <w:semiHidden/>
    <w:qFormat/>
    <w:rsid w:val="00BC0BF7"/>
    <w:rPr>
      <w:b/>
      <w:bCs/>
    </w:rPr>
  </w:style>
  <w:style w:type="paragraph" w:styleId="DocumentMap">
    <w:name w:val="Document Map"/>
    <w:basedOn w:val="Normal"/>
    <w:semiHidden/>
    <w:qFormat/>
    <w:rsid w:val="00BC0BF7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BC0B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BC0BF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BC0BF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BC0BF7"/>
    <w:pPr>
      <w:ind w:left="283" w:hanging="283"/>
    </w:pPr>
  </w:style>
  <w:style w:type="paragraph" w:styleId="List2">
    <w:name w:val="List 2"/>
    <w:basedOn w:val="List"/>
    <w:qFormat/>
    <w:rsid w:val="00BC0BF7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BC0BF7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BC0BF7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BC0BF7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BC0BF7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BC0BF7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BC0BF7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BC0B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BC0BF7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BC0BF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BC0B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BC0BF7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BC0BF7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BC0B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BC0B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BC0BF7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BC0BF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C0BF7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C0BF7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BC0BF7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BC0BF7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BC0BF7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BC0BF7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BC0B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BC0BF7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BC0BF7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BC0BF7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BC0BF7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BC0BF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BC0BF7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BC0BF7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BC0BF7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BC0BF7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BC0BF7"/>
    <w:rPr>
      <w:b/>
    </w:rPr>
  </w:style>
  <w:style w:type="paragraph" w:customStyle="1" w:styleId="TAC">
    <w:name w:val="TAC"/>
    <w:basedOn w:val="Normal"/>
    <w:link w:val="TACChar"/>
    <w:qFormat/>
    <w:rsid w:val="00BC0BF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BC0B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BC0BF7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BC0BF7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BC0BF7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BC0BF7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BC0BF7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BC0BF7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BC0BF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BC0BF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BC0BF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BC0B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BC0BF7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BC0BF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BC0BF7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BC0BF7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BC0BF7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BC0BF7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BC0BF7"/>
    <w:pPr>
      <w:ind w:left="851" w:hanging="851"/>
    </w:pPr>
  </w:style>
  <w:style w:type="paragraph" w:customStyle="1" w:styleId="LGTdoc">
    <w:name w:val="LGTdoc_본문"/>
    <w:basedOn w:val="Normal"/>
    <w:qFormat/>
    <w:rsid w:val="00BC0BF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BC0BF7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C0BF7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BC0BF7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C0BF7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BC0BF7"/>
  </w:style>
  <w:style w:type="character" w:customStyle="1" w:styleId="apple-converted-space">
    <w:name w:val="apple-converted-space"/>
    <w:qFormat/>
    <w:rsid w:val="00BC0BF7"/>
  </w:style>
  <w:style w:type="character" w:customStyle="1" w:styleId="PlainTextChar">
    <w:name w:val="Plain Text Char"/>
    <w:link w:val="PlainText"/>
    <w:uiPriority w:val="99"/>
    <w:qFormat/>
    <w:rsid w:val="00BC0BF7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BC0B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BC0BF7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BC0BF7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BC0BF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BC0BF7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BC0BF7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BC0BF7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BC0BF7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BC0B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BC0B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BC0B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BC0BF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BC0BF7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BC0BF7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BC0BF7"/>
  </w:style>
  <w:style w:type="character" w:customStyle="1" w:styleId="10">
    <w:name w:val="列表段落 字符1"/>
    <w:uiPriority w:val="34"/>
    <w:qFormat/>
    <w:locked/>
    <w:rsid w:val="00BC0BF7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BC0BF7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BC0BF7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C0BF7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../Docs/R1-230852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795</Words>
  <Characters>4537</Characters>
  <Application>Microsoft Office Word</Application>
  <DocSecurity>0</DocSecurity>
  <Lines>37</Lines>
  <Paragraphs>10</Paragraphs>
  <ScaleCrop>false</ScaleCrop>
  <Company>OPPO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2281</cp:revision>
  <cp:lastPrinted>2007-08-26T20:45:00Z</cp:lastPrinted>
  <dcterms:created xsi:type="dcterms:W3CDTF">2021-10-27T01:40:00Z</dcterms:created>
  <dcterms:modified xsi:type="dcterms:W3CDTF">2023-09-28T10:44:00Z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1033-11.1.0.11704</vt:lpwstr>
  </property>
</Properties>
</file>